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BC" w:rsidRPr="00216597" w:rsidRDefault="002428BC" w:rsidP="002428BC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>ANEXO G</w:t>
      </w:r>
    </w:p>
    <w:p w:rsidR="002428BC" w:rsidRDefault="002428BC" w:rsidP="002428BC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DESCRIPCIÓN DE PLAZAS DISPONIBLES </w:t>
      </w:r>
      <w:r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DEL </w:t>
      </w:r>
      <w:r w:rsidRPr="00216597">
        <w:rPr>
          <w:rFonts w:ascii="Arial Narrow" w:eastAsia="Times New Roman" w:hAnsi="Arial Narrow" w:cs="Times New Roman"/>
          <w:b/>
          <w:szCs w:val="20"/>
          <w:lang w:val="es-ES" w:eastAsia="x-none"/>
        </w:rPr>
        <w:t xml:space="preserve">SERVICIO DE SALUD </w:t>
      </w:r>
      <w:r>
        <w:rPr>
          <w:rFonts w:ascii="Arial Narrow" w:eastAsia="Times New Roman" w:hAnsi="Arial Narrow" w:cs="Times New Roman"/>
          <w:b/>
          <w:szCs w:val="20"/>
          <w:lang w:val="es-ES" w:eastAsia="x-none"/>
        </w:rPr>
        <w:t>MAGALLANES</w:t>
      </w:r>
    </w:p>
    <w:p w:rsidR="002428BC" w:rsidRDefault="002428BC" w:rsidP="002428BC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p w:rsidR="002428BC" w:rsidRPr="00216597" w:rsidRDefault="002428BC" w:rsidP="002428BC">
      <w:pPr>
        <w:tabs>
          <w:tab w:val="left" w:pos="1695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Cs w:val="20"/>
          <w:lang w:val="es-ES" w:eastAsia="x-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2917"/>
        <w:gridCol w:w="2918"/>
      </w:tblGrid>
      <w:tr w:rsidR="002428BC" w:rsidRPr="00216597" w:rsidTr="008E0F3B">
        <w:tc>
          <w:tcPr>
            <w:tcW w:w="2917" w:type="dxa"/>
          </w:tcPr>
          <w:p w:rsidR="002428BC" w:rsidRPr="00216597" w:rsidRDefault="002428BC" w:rsidP="008E0F3B">
            <w:pPr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</w:rPr>
              <w:t>ESTABLECIMIENTO</w:t>
            </w:r>
          </w:p>
        </w:tc>
        <w:tc>
          <w:tcPr>
            <w:tcW w:w="5835" w:type="dxa"/>
            <w:gridSpan w:val="2"/>
          </w:tcPr>
          <w:p w:rsidR="002428BC" w:rsidRPr="00216597" w:rsidRDefault="002428BC" w:rsidP="008E0F3B">
            <w:pPr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rFonts w:ascii="Arial Narrow" w:hAnsi="Arial Narrow"/>
                <w:b/>
                <w:bCs/>
                <w:szCs w:val="16"/>
              </w:rPr>
              <w:t>Hospital “Dr. Augusto Essmann</w:t>
            </w:r>
            <w:bookmarkStart w:id="0" w:name="_GoBack"/>
            <w:bookmarkEnd w:id="0"/>
            <w:r>
              <w:rPr>
                <w:rFonts w:ascii="Arial Narrow" w:hAnsi="Arial Narrow"/>
                <w:b/>
                <w:bCs/>
                <w:szCs w:val="16"/>
              </w:rPr>
              <w:t xml:space="preserve"> Burgos” </w:t>
            </w:r>
          </w:p>
        </w:tc>
      </w:tr>
      <w:tr w:rsidR="002428BC" w:rsidRPr="00216597" w:rsidTr="008E0F3B">
        <w:tc>
          <w:tcPr>
            <w:tcW w:w="2917" w:type="dxa"/>
            <w:shd w:val="clear" w:color="auto" w:fill="D9D9D9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COMUNA</w:t>
            </w:r>
          </w:p>
        </w:tc>
        <w:tc>
          <w:tcPr>
            <w:tcW w:w="2917" w:type="dxa"/>
            <w:shd w:val="clear" w:color="auto" w:fill="D9D9D9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>NIVEL DE DIFICULTAD</w:t>
            </w:r>
          </w:p>
        </w:tc>
        <w:tc>
          <w:tcPr>
            <w:tcW w:w="2918" w:type="dxa"/>
            <w:shd w:val="clear" w:color="auto" w:fill="D9D9D9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b/>
                <w:szCs w:val="16"/>
              </w:rPr>
            </w:pPr>
            <w:r w:rsidRPr="00216597">
              <w:rPr>
                <w:rFonts w:ascii="Arial Narrow" w:hAnsi="Arial Narrow"/>
                <w:b/>
                <w:szCs w:val="16"/>
              </w:rPr>
              <w:t xml:space="preserve">CANTIDAD </w:t>
            </w:r>
          </w:p>
        </w:tc>
      </w:tr>
      <w:tr w:rsidR="002428BC" w:rsidRPr="00216597" w:rsidTr="008E0F3B">
        <w:tc>
          <w:tcPr>
            <w:tcW w:w="2917" w:type="dxa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Puerto Natales</w:t>
            </w:r>
          </w:p>
        </w:tc>
        <w:tc>
          <w:tcPr>
            <w:tcW w:w="2917" w:type="dxa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B</w:t>
            </w:r>
          </w:p>
        </w:tc>
        <w:tc>
          <w:tcPr>
            <w:tcW w:w="2918" w:type="dxa"/>
          </w:tcPr>
          <w:p w:rsidR="002428BC" w:rsidRPr="00216597" w:rsidRDefault="002428BC" w:rsidP="008E0F3B">
            <w:pPr>
              <w:jc w:val="center"/>
              <w:rPr>
                <w:rFonts w:ascii="Arial Narrow" w:hAnsi="Arial Narrow"/>
                <w:szCs w:val="16"/>
              </w:rPr>
            </w:pPr>
            <w:r>
              <w:rPr>
                <w:rFonts w:ascii="Arial Narrow" w:hAnsi="Arial Narrow"/>
                <w:szCs w:val="16"/>
              </w:rPr>
              <w:t>3</w:t>
            </w:r>
          </w:p>
        </w:tc>
      </w:tr>
      <w:tr w:rsidR="002428BC" w:rsidRPr="00216597" w:rsidTr="008E0F3B">
        <w:tc>
          <w:tcPr>
            <w:tcW w:w="8752" w:type="dxa"/>
            <w:gridSpan w:val="3"/>
          </w:tcPr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Cumplir con turnos de Permanencia, en el Hospital "Dr. Augusto Essmann Burgos" de Puerto Natales.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Participar en los resultados de los Compromisos de Gestión, Metas colectivas Ley Médica, procesos de Acreditación.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 xml:space="preserve">Asumir Jefaturas de Programas y/o Unidades de Atención. 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Realizar Rondas comunales y de apoyo a la Salud Rural.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Apoyo a otros Establecimientos de la Red si se requiere.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Asesoría y apoyo administrativo para establecer procesos de Referencia y Contra referencia adecuados, a través de la elaboración de Protocolos.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Ejecutar adecuadamente la Cartera de Servicios del establecimiento.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Realizar Traslados de pacientes dentro de la Red Local y a otros establecimientos, cada vez que, por índice de gravedad, el paciente o usuario requiera de soporte médico.</w:t>
            </w:r>
          </w:p>
          <w:p w:rsidR="002428BC" w:rsidRPr="00864351" w:rsidRDefault="002428BC" w:rsidP="002428BC">
            <w:pPr>
              <w:numPr>
                <w:ilvl w:val="0"/>
                <w:numId w:val="1"/>
              </w:numPr>
              <w:tabs>
                <w:tab w:val="left" w:pos="33"/>
              </w:tabs>
              <w:ind w:left="175" w:hanging="142"/>
              <w:jc w:val="both"/>
              <w:rPr>
                <w:rFonts w:ascii="Arial Narrow" w:hAnsi="Arial Narrow" w:cs="Arial"/>
                <w:b/>
                <w:bCs/>
                <w:szCs w:val="18"/>
              </w:rPr>
            </w:pPr>
            <w:r w:rsidRPr="00864351">
              <w:rPr>
                <w:rFonts w:ascii="Arial Narrow" w:hAnsi="Arial Narrow" w:cs="Arial"/>
                <w:bCs/>
                <w:szCs w:val="18"/>
              </w:rPr>
              <w:t>Desempeñar todas aquellas funciones que le encomiende la Dirección del Servicio.</w:t>
            </w:r>
          </w:p>
          <w:p w:rsidR="002428BC" w:rsidRPr="00CD6869" w:rsidRDefault="002428BC" w:rsidP="008E0F3B">
            <w:pPr>
              <w:tabs>
                <w:tab w:val="left" w:pos="33"/>
              </w:tabs>
              <w:ind w:left="175"/>
              <w:jc w:val="both"/>
              <w:rPr>
                <w:rFonts w:ascii="Verdana" w:hAnsi="Verdana" w:cs="Arial"/>
                <w:b/>
                <w:bCs/>
                <w:sz w:val="16"/>
                <w:szCs w:val="18"/>
              </w:rPr>
            </w:pPr>
          </w:p>
        </w:tc>
      </w:tr>
    </w:tbl>
    <w:p w:rsidR="00340B3F" w:rsidRDefault="002428BC"/>
    <w:sectPr w:rsidR="00340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6DD"/>
    <w:multiLevelType w:val="hybridMultilevel"/>
    <w:tmpl w:val="381E4E3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87"/>
    <w:rsid w:val="002428BC"/>
    <w:rsid w:val="00693687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F16AA-E645-4DAC-97F1-5B9433E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8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28BC"/>
    <w:pPr>
      <w:spacing w:after="0" w:line="240" w:lineRule="auto"/>
    </w:pPr>
    <w:rPr>
      <w:rFonts w:ascii="Cambria" w:eastAsia="MS Mincho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2023-01-19T12:07:00Z</dcterms:created>
  <dcterms:modified xsi:type="dcterms:W3CDTF">2023-01-19T12:07:00Z</dcterms:modified>
</cp:coreProperties>
</file>